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2D" w:rsidRDefault="0011176C" w:rsidP="0011176C">
      <w:pPr>
        <w:jc w:val="center"/>
      </w:pPr>
      <w:r>
        <w:rPr>
          <w:noProof/>
        </w:rPr>
        <w:drawing>
          <wp:inline distT="0" distB="0" distL="0" distR="0" wp14:anchorId="3CEA31A6">
            <wp:extent cx="2152650" cy="215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176C" w:rsidRDefault="0011176C" w:rsidP="0011176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7.2</w:t>
      </w:r>
    </w:p>
    <w:p w:rsidR="0011176C" w:rsidRDefault="0011176C" w:rsidP="0011176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Best Practices</w:t>
      </w:r>
    </w:p>
    <w:p w:rsidR="0011176C" w:rsidRDefault="0011176C" w:rsidP="0011176C">
      <w:pPr>
        <w:jc w:val="center"/>
        <w:rPr>
          <w:rFonts w:ascii="Times New Roman" w:hAnsi="Times New Roman"/>
          <w:b/>
          <w:sz w:val="28"/>
          <w:szCs w:val="28"/>
        </w:rPr>
      </w:pPr>
      <w:r w:rsidRPr="00440082">
        <w:rPr>
          <w:rFonts w:ascii="Times New Roman" w:hAnsi="Times New Roman"/>
          <w:b/>
          <w:sz w:val="28"/>
          <w:szCs w:val="28"/>
        </w:rPr>
        <w:t>Best Practice 1-Empowering Women through Skill Enhancement</w:t>
      </w:r>
    </w:p>
    <w:p w:rsidR="0011176C" w:rsidRDefault="0073217C" w:rsidP="0011176C">
      <w:pPr>
        <w:jc w:val="center"/>
        <w:rPr>
          <w:rFonts w:ascii="Times New Roman" w:hAnsi="Times New Roman"/>
          <w:b/>
          <w:sz w:val="28"/>
          <w:szCs w:val="28"/>
        </w:rPr>
      </w:pPr>
      <w:hyperlink r:id="rId6" w:history="1">
        <w:r w:rsidRPr="00385179">
          <w:rPr>
            <w:rStyle w:val="Hyperlink"/>
            <w:rFonts w:ascii="Times New Roman" w:hAnsi="Times New Roman"/>
            <w:b/>
            <w:sz w:val="28"/>
            <w:szCs w:val="28"/>
          </w:rPr>
          <w:t>https://www.hrmmv.org/documents/AQAR-2022-23/Criterion%207/7.2.1Best%20practice%201%2022-23.doc</w:t>
        </w:r>
      </w:hyperlink>
    </w:p>
    <w:p w:rsidR="0011176C" w:rsidRDefault="0011176C" w:rsidP="001117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Best Practice 2-Moving Towards Effective Paperless Office</w:t>
      </w:r>
    </w:p>
    <w:p w:rsidR="0073217C" w:rsidRDefault="0073217C" w:rsidP="0011176C">
      <w:pPr>
        <w:jc w:val="center"/>
        <w:rPr>
          <w:rFonts w:ascii="Times New Roman" w:hAnsi="Times New Roman"/>
          <w:b/>
          <w:sz w:val="28"/>
          <w:szCs w:val="28"/>
        </w:rPr>
      </w:pPr>
      <w:hyperlink r:id="rId7" w:history="1">
        <w:r w:rsidRPr="00385179">
          <w:rPr>
            <w:rStyle w:val="Hyperlink"/>
            <w:rFonts w:ascii="Times New Roman" w:hAnsi="Times New Roman"/>
            <w:b/>
            <w:sz w:val="28"/>
            <w:szCs w:val="28"/>
          </w:rPr>
          <w:t>https://www.hrmmv.org/documents/AQAR-2022-23/Criterion%207/7.2.1Best%20practice%202%202022-23%20(1).doc.pdf</w:t>
        </w:r>
      </w:hyperlink>
    </w:p>
    <w:p w:rsidR="0073217C" w:rsidRPr="0011176C" w:rsidRDefault="0073217C" w:rsidP="0011176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1176C" w:rsidRDefault="0011176C" w:rsidP="001117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176C" w:rsidRPr="0011176C" w:rsidRDefault="0011176C" w:rsidP="0011176C">
      <w:pPr>
        <w:jc w:val="center"/>
        <w:rPr>
          <w:rFonts w:ascii="Times New Roman" w:hAnsi="Times New Roman"/>
          <w:b/>
          <w:sz w:val="36"/>
          <w:szCs w:val="36"/>
        </w:rPr>
      </w:pPr>
    </w:p>
    <w:sectPr w:rsidR="0011176C" w:rsidRPr="00111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6C"/>
    <w:rsid w:val="0011176C"/>
    <w:rsid w:val="0073217C"/>
    <w:rsid w:val="00AB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2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2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rmmv.org/documents/AQAR-2022-23/Criterion%207/7.2.1Best%20practice%202%202022-23%20(1).doc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rmmv.org/documents/AQAR-2022-23/Criterion%207/7.2.1Best%20practice%201%2022-23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2024-04-05T05:18:00Z</dcterms:created>
  <dcterms:modified xsi:type="dcterms:W3CDTF">2024-04-05T05:40:00Z</dcterms:modified>
</cp:coreProperties>
</file>